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Ribble Valley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Ribble Valley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Ribble Valley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Ribble Valley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Ribble Valley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Ribble Valley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Ribble Valley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Ribble Valley is estimated to be </w:t>
      </w:r>
      <w:r w:rsidRPr="00773DF7">
        <w:rPr>
          <w:rFonts w:ascii="Libre Franklin Light" w:eastAsia="Times New Roman" w:hAnsi="Libre Franklin Light" w:cs="Calibri Light"/>
          <w:b/>
          <w:bCs/>
          <w:color w:val="C45911" w:themeColor="accent2" w:themeShade="BF"/>
        </w:rPr>
        <w:t xml:space="preserve">£926,423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Ribble Valley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Ribble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Ribble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Ribble Valley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ibble Val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Ribble Valley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ibble Val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Ribble Valley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Ribble Valley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ibble Val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Ribble Valley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Ribble Valley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Ribble Valley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Ribble Valley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Ribble Valley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Ribble Valley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£926,423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Ribble Valley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£15,090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£312,068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£22,355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£6,287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£11,527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£559,096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£926,423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Ribble Valley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Ribble Valley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Ribble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Ribble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Ribble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Ribble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Ribble Valley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Ribble Valley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Ribble Valley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Ribble Valley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Ribble Valley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Ribble Valley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50AE175-D239-4C23-86AE-E54A5B1A842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